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58" w:rsidRPr="009B2568" w:rsidRDefault="006C6E58" w:rsidP="006C6E58">
      <w:pPr>
        <w:autoSpaceDE w:val="0"/>
        <w:autoSpaceDN w:val="0"/>
        <w:adjustRightInd w:val="0"/>
        <w:ind w:right="-1"/>
        <w:rPr>
          <w:rFonts w:ascii="Arial" w:hAnsi="Arial" w:cs="Arial"/>
          <w:color w:val="000000"/>
        </w:rPr>
      </w:pPr>
    </w:p>
    <w:p w:rsidR="006C6E58" w:rsidRDefault="006C6E58" w:rsidP="006C6E58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0000"/>
        </w:rPr>
      </w:pPr>
      <w:r w:rsidRPr="009B2568">
        <w:rPr>
          <w:rFonts w:ascii="Arial" w:hAnsi="Arial" w:cs="Arial"/>
          <w:b/>
          <w:color w:val="000000"/>
        </w:rPr>
        <w:t xml:space="preserve">CAPITOLATO PORTE FINESTRE SCORREVOLI-ALZANTI </w:t>
      </w:r>
      <w:proofErr w:type="spellStart"/>
      <w:r w:rsidRPr="009B2568">
        <w:rPr>
          <w:rFonts w:ascii="Arial" w:hAnsi="Arial" w:cs="Arial"/>
          <w:b/>
          <w:color w:val="000000"/>
        </w:rPr>
        <w:t>Domal</w:t>
      </w:r>
      <w:proofErr w:type="spellEnd"/>
      <w:r w:rsidRPr="009B2568">
        <w:rPr>
          <w:rFonts w:ascii="Arial" w:hAnsi="Arial" w:cs="Arial"/>
          <w:b/>
          <w:color w:val="000000"/>
        </w:rPr>
        <w:t xml:space="preserve"> Slide C160 </w:t>
      </w:r>
      <w:r>
        <w:rPr>
          <w:rFonts w:ascii="Arial" w:hAnsi="Arial" w:cs="Arial"/>
          <w:b/>
          <w:color w:val="000000"/>
        </w:rPr>
        <w:t>S</w:t>
      </w:r>
      <w:r w:rsidRPr="009B2568">
        <w:rPr>
          <w:rFonts w:ascii="Arial" w:hAnsi="Arial" w:cs="Arial"/>
          <w:b/>
          <w:color w:val="000000"/>
        </w:rPr>
        <w:t>T</w:t>
      </w:r>
    </w:p>
    <w:p w:rsidR="006C6E58" w:rsidRPr="00453E76" w:rsidRDefault="006C6E58" w:rsidP="006C6E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000000"/>
        </w:rPr>
      </w:pPr>
      <w:r w:rsidRPr="00453E76">
        <w:rPr>
          <w:rFonts w:ascii="Arial" w:hAnsi="Arial" w:cs="Arial"/>
          <w:b/>
        </w:rPr>
        <w:t>Struttura dei serramenti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 xml:space="preserve">Porte e </w:t>
      </w:r>
      <w:proofErr w:type="spellStart"/>
      <w:r w:rsidRPr="00453E76">
        <w:rPr>
          <w:rFonts w:ascii="Arial" w:hAnsi="Arial" w:cs="Arial"/>
          <w:color w:val="000000"/>
        </w:rPr>
        <w:t>porte-finestre</w:t>
      </w:r>
      <w:proofErr w:type="spellEnd"/>
      <w:r w:rsidRPr="00453E76">
        <w:rPr>
          <w:rFonts w:ascii="Arial" w:hAnsi="Arial" w:cs="Arial"/>
          <w:color w:val="000000"/>
        </w:rPr>
        <w:t xml:space="preserve"> a una anta apribile a sollevamento e scorrere e una fissa realizzate con profilati estrusi in lega di alluminio EN AW 6060 secondo la norma EN 573/3 con stato di fornitura T6 e tolleranze dimensionali secondo UNI EN 12020/2.</w:t>
      </w:r>
    </w:p>
    <w:p w:rsidR="006C6E58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Il telaio fisso avrà profondità totale di 160 mm e potrà avere gli angoli tagliati a 45° e/o a 90°; il telaio mobile, per garantire una maggiore resistenza alla pressione dinamica del vento, avrà una profondità di 70 mm e alette cingi-vetro diritte.</w:t>
      </w:r>
    </w:p>
    <w:p w:rsidR="006C6E58" w:rsidRPr="00453E76" w:rsidRDefault="006C6E58" w:rsidP="006C6E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</w:rPr>
      </w:pPr>
      <w:r w:rsidRPr="00453E76">
        <w:rPr>
          <w:rFonts w:ascii="Arial" w:hAnsi="Arial" w:cs="Arial"/>
          <w:b/>
        </w:rPr>
        <w:t>Isolamento termico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I profilati sono di tipo isolato avendo la sagoma composta da due estrusi in alluminio collegati meccanicamente e separati termicamente mediante listelli in materiale plastico che riducono lo scambio termico tra le masse metalliche.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L’interruzione del ponte termico è ottenuta dall’interposizione dei listelli separatori composti da poliammide rinforzato con fibra di vetro e caratterizzati da un basso valore di conduttività termica e da guarnizioni in EPDM, la dimensione dei listelli è di 30, 40 mm di profondità e il loro bloccaggio è meccanico con rullatura dall’esterno previa zigrinatura delle sedi di alluminio per evitare scorrimenti.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Nei telai saranno alloggiati appositi profili estrusi in materiale plastico aventi funzione di protezione termica assicurando il perfetto isolamento tra l’ambiente interno ed esterno. Inserti tra i listelli in poliammide dei telai fissi, saranno inseriti nella necessità di un miglioramento delle caratteristiche di isolamento termico del sistema.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 xml:space="preserve">Sui telai mobili quale isolamento della ferramenta e miglioramento termico degli stessi, verranno utilizzate canaline appositamente sagomate in materiale plastico rigido. 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Inserti tra i listelli in poliammide delle ante, saranno inseriti nella necessità di un miglioramento delle caratteristiche di isolamento termico del sistema.</w:t>
      </w:r>
    </w:p>
    <w:p w:rsidR="006C6E58" w:rsidRPr="00453E76" w:rsidRDefault="006C6E58" w:rsidP="006C6E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</w:rPr>
      </w:pPr>
      <w:r w:rsidRPr="00453E76">
        <w:rPr>
          <w:rFonts w:ascii="Arial" w:hAnsi="Arial" w:cs="Arial"/>
          <w:b/>
        </w:rPr>
        <w:t>Drenaggio acqua e ventilazione vetri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Il sistema di tenuta all’aria è garantito da una serie di guarnizioni inserite nelle parti mobili installate in maniera opportuna per garantire sollevamento e scorrimento delle parti apribili.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Nella traversa inferiore dei telai dovranno essere praticate le asole per lo scarico dell’acqua; gli angoli dovranno essere sigillati con mastici per evitare le infiltrazioni di aria e di acqua.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Sagomati di guarnizioni biadesiva applicati alle teste dei telai orizzontali se tagliati a 90°, dovranno impedire infiltrazioni d’acqua nel collegamento con le parti verticali dei telai.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 xml:space="preserve">Nella traversa inferiore delle ante mobili, dovranno essere praticati dei fori di aerazione per la zona perimetrale del vetro. L’altezza della sede del vetro ed i relativi ferma-vetro, dovranno essere di almeno 22 mm. I vetri saranno applicati con </w:t>
      </w:r>
      <w:proofErr w:type="spellStart"/>
      <w:r w:rsidRPr="00453E76">
        <w:rPr>
          <w:rFonts w:ascii="Arial" w:hAnsi="Arial" w:cs="Arial"/>
          <w:color w:val="000000"/>
        </w:rPr>
        <w:t>fermavetri</w:t>
      </w:r>
      <w:proofErr w:type="spellEnd"/>
      <w:r w:rsidRPr="00453E76">
        <w:rPr>
          <w:rFonts w:ascii="Arial" w:hAnsi="Arial" w:cs="Arial"/>
          <w:color w:val="000000"/>
        </w:rPr>
        <w:t xml:space="preserve"> a scatto o a contrasto con l’ausilio di guarnizioni in EPDM.</w:t>
      </w:r>
    </w:p>
    <w:p w:rsidR="006C6E58" w:rsidRPr="00453E76" w:rsidRDefault="006C6E58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Il serramento finito dovrà presentare la superficie esterna piana con sovrapposizione di 4 mm della parte mobile sulla fissa inferiore e laterale e di 8 mm nella parte superiore e allineamento interno ed esterno tra parti fisse e parti apribili.</w:t>
      </w:r>
    </w:p>
    <w:p w:rsidR="00453E76" w:rsidRPr="00453E76" w:rsidRDefault="00453E76" w:rsidP="00453E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53E76">
        <w:rPr>
          <w:b/>
          <w:sz w:val="22"/>
          <w:szCs w:val="22"/>
        </w:rPr>
        <w:t xml:space="preserve">Accessori e guarnizioni </w:t>
      </w:r>
    </w:p>
    <w:p w:rsidR="00453E76" w:rsidRPr="00453E76" w:rsidRDefault="00453E76" w:rsidP="00453E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A garanzia della qualità del prodotto finito, gli accessori e le guarnizioni dovranno essere tutti originali del sistema come indicato sui manuali del produttore e rispondenti alle norme UNI ed alle disposizioni in materia di sicurezza DL. 626 e DL. 242. Gli accessori e le guarnizioni hanno caratteristiche tali da conferire al serramento la resistenza meccanica, la stabilità e la funzionalità per le condizioni di uso e sollecitazione a cui è destinato. I materiali costituenti gli accessori sono compatibili con quelli delle superfici con cui vengono posti a contatto.</w:t>
      </w:r>
    </w:p>
    <w:p w:rsidR="00453E76" w:rsidRPr="00453E76" w:rsidRDefault="00453E76" w:rsidP="00453E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</w:p>
    <w:p w:rsidR="00453E76" w:rsidRPr="00453E76" w:rsidRDefault="00453E76" w:rsidP="00453E76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53E76">
        <w:rPr>
          <w:b/>
          <w:sz w:val="22"/>
          <w:szCs w:val="22"/>
        </w:rPr>
        <w:t xml:space="preserve">Sigillanti </w:t>
      </w:r>
    </w:p>
    <w:p w:rsidR="00453E76" w:rsidRPr="00453E76" w:rsidRDefault="00453E76" w:rsidP="00453E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Tali materiali non corrodono le parti in alluminio e sue leghe con cui vengono in contatto. I sigillanti garantiscono al serramento le prestazioni di tenuta all’acqua, tenuta all’aria, tenuta alla polvere e la realizzazione di continuità elastica durevole nel tempo tra due supporti in movimento, sono compatibili con i materiali con cui vengono in contatto e sono conformi alle norme di riferimento UNI 9610/00, UNI 9611, UNI 3952/00.</w:t>
      </w:r>
    </w:p>
    <w:p w:rsidR="00453E76" w:rsidRPr="00453E76" w:rsidRDefault="00453E76" w:rsidP="00453E76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53E76">
        <w:rPr>
          <w:b/>
          <w:sz w:val="22"/>
          <w:szCs w:val="22"/>
        </w:rPr>
        <w:t>Prestazioni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Sono richiesti certificati (copia) di sistema, che attestino livelli di prestazione dei serramenti secondo le seguenti Norme, non inferiori ai valori sotto indicati: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 xml:space="preserve">EN 12207 Permeabilità all’aria:  classe  </w:t>
      </w:r>
      <w:r w:rsidR="00C140DD">
        <w:rPr>
          <w:rFonts w:ascii="Arial" w:hAnsi="Arial" w:cs="Arial"/>
          <w:color w:val="000000"/>
        </w:rPr>
        <w:t>4</w:t>
      </w:r>
      <w:r w:rsidRPr="00453E76">
        <w:rPr>
          <w:rFonts w:ascii="Arial" w:hAnsi="Arial" w:cs="Arial"/>
          <w:color w:val="000000"/>
        </w:rPr>
        <w:t xml:space="preserve">       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 xml:space="preserve">EN 12208 Tenuta all’acqua: classe </w:t>
      </w:r>
      <w:r w:rsidR="00161C3B">
        <w:rPr>
          <w:rFonts w:ascii="Arial" w:hAnsi="Arial" w:cs="Arial"/>
          <w:color w:val="000000"/>
        </w:rPr>
        <w:t>9A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 xml:space="preserve">EN 12211 Resistenza al carico del vento:  classe </w:t>
      </w:r>
      <w:r w:rsidR="00C140DD">
        <w:rPr>
          <w:rFonts w:ascii="Arial" w:hAnsi="Arial" w:cs="Arial"/>
          <w:color w:val="000000"/>
        </w:rPr>
        <w:t>C4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EN ISO 10077</w:t>
      </w:r>
      <w:r w:rsidR="00C140DD">
        <w:rPr>
          <w:rFonts w:ascii="Arial" w:hAnsi="Arial" w:cs="Arial"/>
          <w:color w:val="000000"/>
        </w:rPr>
        <w:t>-2 Valore certificato: 2,09- 3,1</w:t>
      </w:r>
      <w:r w:rsidRPr="00453E76">
        <w:rPr>
          <w:rFonts w:ascii="Arial" w:hAnsi="Arial" w:cs="Arial"/>
          <w:color w:val="000000"/>
        </w:rPr>
        <w:t xml:space="preserve">W/m2 K </w:t>
      </w:r>
      <w:r w:rsidR="00161C3B">
        <w:rPr>
          <w:rFonts w:ascii="Arial" w:hAnsi="Arial" w:cs="Arial"/>
          <w:color w:val="000000"/>
        </w:rPr>
        <w:t>(</w:t>
      </w:r>
      <w:r w:rsidRPr="00453E76">
        <w:rPr>
          <w:rFonts w:ascii="Arial" w:hAnsi="Arial" w:cs="Arial"/>
          <w:color w:val="000000"/>
        </w:rPr>
        <w:t>Trasmittanza termica del telaio</w:t>
      </w:r>
      <w:r w:rsidR="00161C3B">
        <w:rPr>
          <w:rFonts w:ascii="Arial" w:hAnsi="Arial" w:cs="Arial"/>
          <w:color w:val="000000"/>
        </w:rPr>
        <w:t xml:space="preserve"> + anta)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 xml:space="preserve">EN ISO 717/1 Test acustici </w:t>
      </w:r>
      <w:proofErr w:type="spellStart"/>
      <w:r w:rsidRPr="00453E76">
        <w:rPr>
          <w:rFonts w:ascii="Arial" w:hAnsi="Arial" w:cs="Arial"/>
          <w:color w:val="000000"/>
        </w:rPr>
        <w:t>Rw</w:t>
      </w:r>
      <w:proofErr w:type="spellEnd"/>
      <w:r w:rsidRPr="00453E76">
        <w:rPr>
          <w:rFonts w:ascii="Arial" w:hAnsi="Arial" w:cs="Arial"/>
          <w:color w:val="000000"/>
        </w:rPr>
        <w:t xml:space="preserve"> (</w:t>
      </w:r>
      <w:proofErr w:type="spellStart"/>
      <w:r w:rsidRPr="00453E76">
        <w:rPr>
          <w:rFonts w:ascii="Arial" w:hAnsi="Arial" w:cs="Arial"/>
          <w:color w:val="000000"/>
        </w:rPr>
        <w:t>C;Ctr</w:t>
      </w:r>
      <w:proofErr w:type="spellEnd"/>
      <w:r w:rsidRPr="00453E76">
        <w:rPr>
          <w:rFonts w:ascii="Arial" w:hAnsi="Arial" w:cs="Arial"/>
          <w:color w:val="000000"/>
        </w:rPr>
        <w:t>) =</w:t>
      </w:r>
      <w:r w:rsidR="00161C3B">
        <w:rPr>
          <w:rFonts w:ascii="Arial" w:hAnsi="Arial" w:cs="Arial"/>
          <w:color w:val="000000"/>
        </w:rPr>
        <w:t xml:space="preserve"> 43 (-1;-4) dB </w:t>
      </w:r>
      <w:r w:rsidRPr="00453E76">
        <w:rPr>
          <w:rFonts w:ascii="Arial" w:hAnsi="Arial" w:cs="Arial"/>
          <w:color w:val="000000"/>
        </w:rPr>
        <w:t xml:space="preserve">con vetro </w:t>
      </w:r>
      <w:proofErr w:type="spellStart"/>
      <w:r w:rsidRPr="00453E76">
        <w:rPr>
          <w:rFonts w:ascii="Arial" w:hAnsi="Arial" w:cs="Arial"/>
          <w:color w:val="000000"/>
        </w:rPr>
        <w:t>Rw</w:t>
      </w:r>
      <w:proofErr w:type="spellEnd"/>
      <w:r w:rsidRPr="00453E76">
        <w:rPr>
          <w:rFonts w:ascii="Arial" w:hAnsi="Arial" w:cs="Arial"/>
          <w:color w:val="000000"/>
        </w:rPr>
        <w:t xml:space="preserve"> (</w:t>
      </w:r>
      <w:proofErr w:type="spellStart"/>
      <w:r w:rsidRPr="00453E76">
        <w:rPr>
          <w:rFonts w:ascii="Arial" w:hAnsi="Arial" w:cs="Arial"/>
          <w:color w:val="000000"/>
        </w:rPr>
        <w:t>C;Ctr</w:t>
      </w:r>
      <w:proofErr w:type="spellEnd"/>
      <w:r w:rsidRPr="00453E76">
        <w:rPr>
          <w:rFonts w:ascii="Arial" w:hAnsi="Arial" w:cs="Arial"/>
          <w:color w:val="000000"/>
        </w:rPr>
        <w:t>) =</w:t>
      </w:r>
      <w:r w:rsidR="00161C3B">
        <w:rPr>
          <w:rFonts w:ascii="Arial" w:hAnsi="Arial" w:cs="Arial"/>
          <w:color w:val="000000"/>
        </w:rPr>
        <w:t xml:space="preserve"> 50 (-2;-5) dB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ENV 1627 – 1630 Resistenza all’effrazione:  classe</w:t>
      </w:r>
      <w:r w:rsidR="00161C3B">
        <w:rPr>
          <w:rFonts w:ascii="Arial" w:hAnsi="Arial" w:cs="Arial"/>
          <w:color w:val="000000"/>
        </w:rPr>
        <w:t xml:space="preserve"> 2</w:t>
      </w:r>
    </w:p>
    <w:p w:rsidR="00BA0E7C" w:rsidRPr="00453E76" w:rsidRDefault="00BA0E7C" w:rsidP="00B038F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 xml:space="preserve">EN 13115 Sforzo apertura: classe </w:t>
      </w:r>
      <w:r w:rsidR="00161C3B">
        <w:rPr>
          <w:rFonts w:ascii="Arial" w:hAnsi="Arial" w:cs="Arial"/>
          <w:color w:val="000000"/>
        </w:rPr>
        <w:t>1</w:t>
      </w:r>
      <w:bookmarkStart w:id="0" w:name="_GoBack"/>
      <w:bookmarkEnd w:id="0"/>
    </w:p>
    <w:p w:rsidR="00453E76" w:rsidRPr="00453E76" w:rsidRDefault="00453E76" w:rsidP="00453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</w:rPr>
      </w:pPr>
      <w:r w:rsidRPr="00453E76">
        <w:rPr>
          <w:rFonts w:ascii="Arial" w:hAnsi="Arial" w:cs="Arial"/>
          <w:b/>
        </w:rPr>
        <w:t xml:space="preserve">Finiture superficiali </w:t>
      </w:r>
    </w:p>
    <w:p w:rsidR="00453E76" w:rsidRPr="00453E76" w:rsidRDefault="00453E76" w:rsidP="00453E76">
      <w:pPr>
        <w:pStyle w:val="Default"/>
        <w:jc w:val="both"/>
        <w:rPr>
          <w:sz w:val="22"/>
          <w:szCs w:val="22"/>
        </w:rPr>
      </w:pPr>
      <w:r w:rsidRPr="00453E76">
        <w:rPr>
          <w:sz w:val="22"/>
          <w:szCs w:val="22"/>
        </w:rPr>
        <w:t>L’ossidazione anodica e l’</w:t>
      </w:r>
      <w:proofErr w:type="spellStart"/>
      <w:r w:rsidRPr="00453E76">
        <w:rPr>
          <w:sz w:val="22"/>
          <w:szCs w:val="22"/>
        </w:rPr>
        <w:t>elettrocolorazione</w:t>
      </w:r>
      <w:proofErr w:type="spellEnd"/>
      <w:r w:rsidRPr="00453E76">
        <w:rPr>
          <w:sz w:val="22"/>
          <w:szCs w:val="22"/>
        </w:rPr>
        <w:t xml:space="preserve"> dovrà rispondere a quanto previsto dal marchio “QUALITAL” ed alle specifiche tecniche del QUALANOD. Lo spessore dell’ossido dovrà appartenere alla classe 15 (15μm). La verniciatura dovrà rispondere a quanto previsto dal marchio “QUALITAL” ed alle specifiche tecniche del QUALICOAT.</w:t>
      </w:r>
    </w:p>
    <w:p w:rsidR="00453E76" w:rsidRPr="00453E76" w:rsidRDefault="00453E76" w:rsidP="00453E76">
      <w:pPr>
        <w:pStyle w:val="Default"/>
        <w:jc w:val="both"/>
        <w:rPr>
          <w:sz w:val="22"/>
          <w:szCs w:val="22"/>
        </w:rPr>
      </w:pPr>
    </w:p>
    <w:p w:rsidR="00453E76" w:rsidRPr="00453E76" w:rsidRDefault="00453E76" w:rsidP="00453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</w:rPr>
      </w:pPr>
      <w:r w:rsidRPr="00453E76">
        <w:rPr>
          <w:rFonts w:ascii="Arial" w:hAnsi="Arial" w:cs="Arial"/>
          <w:b/>
        </w:rPr>
        <w:t>Posa in opera</w:t>
      </w:r>
    </w:p>
    <w:p w:rsidR="00C140DD" w:rsidRDefault="00453E76" w:rsidP="00C140D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 xml:space="preserve">Le connessioni tra serramento e opera muraria che lo alloggia dovranno essere realizzate in modo da garantire la stabilità meccanica del giunto, la tenuta all’aria e all’acqua e da non compromettere le prestazioni di isolamento termico e acustico del serramento. La struttura del giunto dovrà inoltre consentire che le dilatazioni termiche del serramento e del struttura muraria adiacente non ne compromettano funzionalità e tenuta. Per la posa in opera dei serramenti si dovrà tenere conto </w:t>
      </w:r>
    </w:p>
    <w:p w:rsidR="00C140DD" w:rsidRDefault="00C140DD" w:rsidP="00C140D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</w:p>
    <w:p w:rsidR="00453E76" w:rsidRPr="00453E76" w:rsidRDefault="00453E76" w:rsidP="00C140D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453E76">
        <w:rPr>
          <w:rFonts w:ascii="Arial" w:hAnsi="Arial" w:cs="Arial"/>
          <w:color w:val="000000"/>
        </w:rPr>
        <w:t>delle raccomandazioni riportate sulla doc</w:t>
      </w:r>
      <w:r w:rsidR="00C140DD">
        <w:rPr>
          <w:rFonts w:ascii="Arial" w:hAnsi="Arial" w:cs="Arial"/>
          <w:color w:val="000000"/>
        </w:rPr>
        <w:t xml:space="preserve">umentazione tecnica dell’UNICMI </w:t>
      </w:r>
      <w:r w:rsidRPr="00453E76">
        <w:rPr>
          <w:rFonts w:ascii="Arial" w:hAnsi="Arial" w:cs="Arial"/>
          <w:color w:val="000000"/>
        </w:rPr>
        <w:t xml:space="preserve">UX42 – “Guida alla posa in opera dei serramenti” e della norma UNI 11673 (2017). </w:t>
      </w:r>
    </w:p>
    <w:p w:rsidR="00453E76" w:rsidRPr="00453E76" w:rsidRDefault="00453E76" w:rsidP="00453E76">
      <w:pPr>
        <w:pStyle w:val="Default"/>
        <w:rPr>
          <w:sz w:val="22"/>
          <w:szCs w:val="22"/>
        </w:rPr>
      </w:pPr>
    </w:p>
    <w:p w:rsidR="00453E76" w:rsidRPr="00453E76" w:rsidRDefault="00453E76" w:rsidP="00453E76">
      <w:pPr>
        <w:pStyle w:val="Default"/>
        <w:jc w:val="both"/>
        <w:rPr>
          <w:sz w:val="22"/>
          <w:szCs w:val="22"/>
        </w:rPr>
      </w:pPr>
      <w:r w:rsidRPr="00453E76">
        <w:rPr>
          <w:sz w:val="22"/>
          <w:szCs w:val="22"/>
        </w:rPr>
        <w:t>Ai fini dell’immissione del prodotto finito sul mercato della Comunità Europea, ogni serramento dovrà essere marcato CE in conformità alla direttiva sui Prodotti da Costruzione 89/106/ CE ed alla relativa norma di prodotto EN 14351-1.</w:t>
      </w:r>
    </w:p>
    <w:p w:rsidR="00453E76" w:rsidRPr="00453E76" w:rsidRDefault="00453E76" w:rsidP="00453E76">
      <w:pPr>
        <w:spacing w:line="240" w:lineRule="auto"/>
        <w:rPr>
          <w:rFonts w:ascii="Arial" w:hAnsi="Arial" w:cs="Arial"/>
        </w:rPr>
        <w:sectPr w:rsidR="00453E76" w:rsidRPr="00453E76" w:rsidSect="00BB7A00">
          <w:headerReference w:type="default" r:id="rId7"/>
          <w:footerReference w:type="default" r:id="rId8"/>
          <w:type w:val="continuous"/>
          <w:pgSz w:w="11906" w:h="16838"/>
          <w:pgMar w:top="839" w:right="1416" w:bottom="0" w:left="851" w:header="709" w:footer="709" w:gutter="0"/>
          <w:cols w:space="282"/>
          <w:docGrid w:linePitch="360"/>
        </w:sectPr>
      </w:pPr>
    </w:p>
    <w:p w:rsidR="00C50588" w:rsidRPr="00C50588" w:rsidRDefault="00C50588" w:rsidP="00A550AD"/>
    <w:sectPr w:rsidR="00C50588" w:rsidRPr="00C50588" w:rsidSect="00746E7E">
      <w:headerReference w:type="default" r:id="rId9"/>
      <w:footerReference w:type="default" r:id="rId10"/>
      <w:type w:val="continuous"/>
      <w:pgSz w:w="11906" w:h="16838"/>
      <w:pgMar w:top="837" w:right="1080" w:bottom="1440" w:left="851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71" w:rsidRDefault="00475471" w:rsidP="00A84950">
      <w:pPr>
        <w:spacing w:after="0" w:line="240" w:lineRule="auto"/>
      </w:pPr>
      <w:r>
        <w:separator/>
      </w:r>
    </w:p>
  </w:endnote>
  <w:endnote w:type="continuationSeparator" w:id="0">
    <w:p w:rsidR="00475471" w:rsidRDefault="00475471" w:rsidP="00A8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76" w:rsidRDefault="00453E76" w:rsidP="00A84950">
    <w:pPr>
      <w:autoSpaceDE w:val="0"/>
      <w:autoSpaceDN w:val="0"/>
      <w:adjustRightInd w:val="0"/>
      <w:spacing w:after="0" w:line="240" w:lineRule="auto"/>
      <w:jc w:val="center"/>
      <w:rPr>
        <w:rFonts w:ascii="HelveticaNeueLTStd-Lt" w:hAnsi="HelveticaNeueLTStd-Lt" w:cs="HelveticaNeueLTStd-Lt"/>
        <w:color w:val="4D4D4D"/>
        <w:sz w:val="13"/>
        <w:szCs w:val="13"/>
      </w:rPr>
    </w:pPr>
  </w:p>
  <w:p w:rsidR="00453E76" w:rsidRPr="003163F3" w:rsidRDefault="00453E76" w:rsidP="003163F3">
    <w:pPr>
      <w:pStyle w:val="Pidipagina"/>
      <w:jc w:val="center"/>
      <w:rPr>
        <w:rFonts w:ascii="HelveticaNeueLTStd-Bd" w:hAnsi="HelveticaNeueLTStd-Bd" w:cs="HelveticaNeueLTStd-Bd"/>
        <w:b/>
        <w:color w:val="4D4D4D"/>
        <w:sz w:val="15"/>
        <w:szCs w:val="13"/>
      </w:rPr>
    </w:pPr>
  </w:p>
  <w:p w:rsidR="00453E76" w:rsidRPr="003163F3" w:rsidRDefault="00453E76" w:rsidP="00923202">
    <w:pPr>
      <w:pStyle w:val="Pidipagina"/>
      <w:ind w:left="567"/>
      <w:jc w:val="center"/>
      <w:rPr>
        <w:rFonts w:ascii="HelveticaNeueLTStd-Bd" w:hAnsi="HelveticaNeueLTStd-Bd" w:cs="HelveticaNeueLTStd-Bd"/>
        <w:color w:val="4D4D4D"/>
        <w:sz w:val="15"/>
        <w:szCs w:val="13"/>
      </w:rPr>
    </w:pPr>
    <w:r w:rsidRPr="003163F3">
      <w:rPr>
        <w:rFonts w:ascii="HelveticaNeueLTStd-Bd" w:hAnsi="HelveticaNeueLTStd-Bd" w:cs="HelveticaNeueLTStd-Bd"/>
        <w:b/>
        <w:color w:val="4D4D4D"/>
        <w:sz w:val="15"/>
        <w:szCs w:val="13"/>
      </w:rPr>
      <w:t>Sapa Building Systems S.p.A</w:t>
    </w:r>
    <w:r w:rsidRPr="001A45B5">
      <w:rPr>
        <w:rFonts w:ascii="HelveticaNeueLTStd-Bd" w:hAnsi="HelveticaNeueLTStd-Bd" w:cs="HelveticaNeueLTStd-Bd"/>
        <w:color w:val="4D4D4D"/>
        <w:sz w:val="15"/>
        <w:szCs w:val="13"/>
      </w:rPr>
      <w:t>.</w:t>
    </w:r>
    <w:r>
      <w:rPr>
        <w:rFonts w:ascii="HelveticaNeueLTStd-Bd" w:hAnsi="HelveticaNeueLTStd-Bd" w:cs="HelveticaNeueLTStd-Bd"/>
        <w:color w:val="4D4D4D"/>
        <w:sz w:val="15"/>
        <w:szCs w:val="13"/>
      </w:rPr>
      <w:t>- C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on socio unico </w:t>
    </w:r>
    <w:r w:rsidRPr="003163F3">
      <w:rPr>
        <w:rFonts w:ascii="HelveticaNeueLTStd-Bd" w:hAnsi="HelveticaNeueLTStd-Bd" w:cs="HelveticaNeueLTStd-Bd"/>
        <w:color w:val="4D4D4D"/>
        <w:sz w:val="15"/>
        <w:szCs w:val="13"/>
      </w:rPr>
      <w:t xml:space="preserve"> - Società soggetta ad attività di direzione e coordinamento da parte di SAPA AS - Oslo (NOR)</w:t>
    </w:r>
  </w:p>
  <w:p w:rsidR="00453E76" w:rsidRPr="001A45B5" w:rsidRDefault="00453E76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Via A. Ponchielli, 3 - 20063 Cernusco sul Naviglio (MI) - Tel.: 02 924291 - Fax: 02 92429496</w:t>
    </w:r>
  </w:p>
  <w:p w:rsidR="00453E76" w:rsidRPr="001A45B5" w:rsidRDefault="00453E76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noProof/>
        <w:color w:val="4D4D4D"/>
        <w:sz w:val="15"/>
        <w:szCs w:val="13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671F" wp14:editId="0BDBEC0D">
              <wp:simplePos x="0" y="0"/>
              <wp:positionH relativeFrom="column">
                <wp:posOffset>69850</wp:posOffset>
              </wp:positionH>
              <wp:positionV relativeFrom="paragraph">
                <wp:posOffset>-334101</wp:posOffset>
              </wp:positionV>
              <wp:extent cx="6803390" cy="0"/>
              <wp:effectExtent l="0" t="0" r="16510" b="19050"/>
              <wp:wrapNone/>
              <wp:docPr id="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0C5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FBA34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pt,-26.3pt" to="541.2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" strokecolor="#80c535" strokeweight="1pt"/>
          </w:pict>
        </mc:Fallback>
      </mc:AlternateConten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Cod. Fiscale 01032640334 - P.I. 02086150964 </w:t>
    </w:r>
    <w:r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R.E.A. n. MI-1351741 - Cap. </w:t>
    </w:r>
    <w:proofErr w:type="spellStart"/>
    <w:r w:rsidRPr="001A45B5">
      <w:rPr>
        <w:rFonts w:ascii="HelveticaNeueLTStd-Lt" w:hAnsi="HelveticaNeueLTStd-Lt" w:cs="HelveticaNeueLTStd-Lt"/>
        <w:color w:val="4D4D4D"/>
        <w:sz w:val="15"/>
        <w:szCs w:val="13"/>
      </w:rPr>
      <w:t>Soc</w:t>
    </w:r>
    <w:proofErr w:type="spellEnd"/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. </w:t>
    </w:r>
    <w:r w:rsidRPr="001A45B5">
      <w:rPr>
        <w:rFonts w:ascii="EuroSans-Regular" w:hAnsi="EuroSans-Regular" w:cs="EuroSans-Regular"/>
        <w:color w:val="4D4D4D"/>
        <w:sz w:val="15"/>
        <w:szCs w:val="13"/>
      </w:rPr>
      <w:t xml:space="preserve">_ </w:t>
    </w:r>
    <w:r>
      <w:rPr>
        <w:rFonts w:ascii="HelveticaNeueLTStd-Lt" w:hAnsi="HelveticaNeueLTStd-Lt" w:cs="HelveticaNeueLTStd-Lt"/>
        <w:color w:val="4D4D4D"/>
        <w:sz w:val="15"/>
        <w:szCs w:val="13"/>
      </w:rPr>
      <w:t>5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>
      <w:rPr>
        <w:rFonts w:ascii="HelveticaNeueLTStd-Lt" w:hAnsi="HelveticaNeueLTStd-Lt" w:cs="HelveticaNeueLTStd-Lt"/>
        <w:color w:val="4D4D4D"/>
        <w:sz w:val="15"/>
        <w:szCs w:val="13"/>
      </w:rPr>
      <w:t>000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>
      <w:rPr>
        <w:rFonts w:ascii="HelveticaNeueLTStd-Lt" w:hAnsi="HelveticaNeueLTStd-Lt" w:cs="HelveticaNeueLTStd-Lt"/>
        <w:color w:val="4D4D4D"/>
        <w:sz w:val="15"/>
        <w:szCs w:val="13"/>
      </w:rPr>
      <w:t>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00,00 </w:t>
    </w:r>
    <w:proofErr w:type="spellStart"/>
    <w:r w:rsidRPr="001A45B5">
      <w:rPr>
        <w:rFonts w:ascii="HelveticaNeueLTStd-Lt" w:hAnsi="HelveticaNeueLTStd-Lt" w:cs="HelveticaNeueLTStd-Lt"/>
        <w:color w:val="4D4D4D"/>
        <w:sz w:val="15"/>
        <w:szCs w:val="13"/>
      </w:rPr>
      <w:t>i.v</w:t>
    </w:r>
    <w:proofErr w:type="spellEnd"/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</w:p>
  <w:p w:rsidR="00453E76" w:rsidRPr="001A45B5" w:rsidRDefault="00453E76" w:rsidP="00923202">
    <w:pPr>
      <w:pStyle w:val="Pidipagina"/>
      <w:ind w:left="567"/>
      <w:jc w:val="center"/>
      <w:rPr>
        <w:sz w:val="24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www.domal.it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F3" w:rsidRDefault="003163F3" w:rsidP="00A84950">
    <w:pPr>
      <w:autoSpaceDE w:val="0"/>
      <w:autoSpaceDN w:val="0"/>
      <w:adjustRightInd w:val="0"/>
      <w:spacing w:after="0" w:line="240" w:lineRule="auto"/>
      <w:jc w:val="center"/>
      <w:rPr>
        <w:rFonts w:ascii="HelveticaNeueLTStd-Lt" w:hAnsi="HelveticaNeueLTStd-Lt" w:cs="HelveticaNeueLTStd-Lt"/>
        <w:color w:val="4D4D4D"/>
        <w:sz w:val="13"/>
        <w:szCs w:val="13"/>
      </w:rPr>
    </w:pPr>
  </w:p>
  <w:p w:rsidR="003163F3" w:rsidRPr="003163F3" w:rsidRDefault="003163F3" w:rsidP="003163F3">
    <w:pPr>
      <w:pStyle w:val="Pidipagina"/>
      <w:jc w:val="center"/>
      <w:rPr>
        <w:rFonts w:ascii="HelveticaNeueLTStd-Bd" w:hAnsi="HelveticaNeueLTStd-Bd" w:cs="HelveticaNeueLTStd-Bd"/>
        <w:b/>
        <w:color w:val="4D4D4D"/>
        <w:sz w:val="15"/>
        <w:szCs w:val="13"/>
      </w:rPr>
    </w:pPr>
  </w:p>
  <w:p w:rsidR="003163F3" w:rsidRPr="003163F3" w:rsidRDefault="003163F3" w:rsidP="00923202">
    <w:pPr>
      <w:pStyle w:val="Pidipagina"/>
      <w:ind w:left="567"/>
      <w:jc w:val="center"/>
      <w:rPr>
        <w:rFonts w:ascii="HelveticaNeueLTStd-Bd" w:hAnsi="HelveticaNeueLTStd-Bd" w:cs="HelveticaNeueLTStd-Bd"/>
        <w:color w:val="4D4D4D"/>
        <w:sz w:val="15"/>
        <w:szCs w:val="13"/>
      </w:rPr>
    </w:pPr>
    <w:r w:rsidRPr="003163F3">
      <w:rPr>
        <w:rFonts w:ascii="HelveticaNeueLTStd-Bd" w:hAnsi="HelveticaNeueLTStd-Bd" w:cs="HelveticaNeueLTStd-Bd"/>
        <w:b/>
        <w:color w:val="4D4D4D"/>
        <w:sz w:val="15"/>
        <w:szCs w:val="13"/>
      </w:rPr>
      <w:t>Sapa Building Systems S.p.A</w:t>
    </w:r>
    <w:r w:rsidRPr="001A45B5">
      <w:rPr>
        <w:rFonts w:ascii="HelveticaNeueLTStd-Bd" w:hAnsi="HelveticaNeueLTStd-Bd" w:cs="HelveticaNeueLTStd-Bd"/>
        <w:color w:val="4D4D4D"/>
        <w:sz w:val="15"/>
        <w:szCs w:val="13"/>
      </w:rPr>
      <w:t>.</w:t>
    </w:r>
    <w:r>
      <w:rPr>
        <w:rFonts w:ascii="HelveticaNeueLTStd-Bd" w:hAnsi="HelveticaNeueLTStd-Bd" w:cs="HelveticaNeueLTStd-Bd"/>
        <w:color w:val="4D4D4D"/>
        <w:sz w:val="15"/>
        <w:szCs w:val="13"/>
      </w:rPr>
      <w:t>- C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on socio unico </w:t>
    </w:r>
    <w:r w:rsidRPr="003163F3">
      <w:rPr>
        <w:rFonts w:ascii="HelveticaNeueLTStd-Bd" w:hAnsi="HelveticaNeueLTStd-Bd" w:cs="HelveticaNeueLTStd-Bd"/>
        <w:color w:val="4D4D4D"/>
        <w:sz w:val="15"/>
        <w:szCs w:val="13"/>
      </w:rPr>
      <w:t xml:space="preserve"> - Società soggetta ad attività di direzione e coordinamento da parte di SAPA AS - Oslo (NOR)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Via A. Ponchielli, 3 - 20063 Cernusco sul Naviglio (MI) - Tel.: 02 924291 - Fax: 02 92429496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noProof/>
        <w:color w:val="4D4D4D"/>
        <w:sz w:val="15"/>
        <w:szCs w:val="13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7F533A" wp14:editId="29A8B86E">
              <wp:simplePos x="0" y="0"/>
              <wp:positionH relativeFrom="column">
                <wp:posOffset>69850</wp:posOffset>
              </wp:positionH>
              <wp:positionV relativeFrom="paragraph">
                <wp:posOffset>-334101</wp:posOffset>
              </wp:positionV>
              <wp:extent cx="6803390" cy="0"/>
              <wp:effectExtent l="0" t="0" r="165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0C5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D4E0E9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pt,-26.3pt" to="541.2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" strokecolor="#80c535" strokeweight="1pt"/>
          </w:pict>
        </mc:Fallback>
      </mc:AlternateConten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Cod. Fiscale 01032640334 - P.I. 02086150964</w:t>
    </w:r>
    <w:r w:rsidR="001A45B5"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="00204C38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R.E.A. n. MI-1351741 - Cap. Soc. </w:t>
    </w:r>
    <w:r w:rsidRPr="001A45B5">
      <w:rPr>
        <w:rFonts w:ascii="EuroSans-Regular" w:hAnsi="EuroSans-Regular" w:cs="EuroSans-Regular"/>
        <w:color w:val="4D4D4D"/>
        <w:sz w:val="15"/>
        <w:szCs w:val="13"/>
      </w:rPr>
      <w:t xml:space="preserve">_ 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5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000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00,00 </w:t>
    </w:r>
    <w:proofErr w:type="spellStart"/>
    <w:r w:rsidRPr="001A45B5">
      <w:rPr>
        <w:rFonts w:ascii="HelveticaNeueLTStd-Lt" w:hAnsi="HelveticaNeueLTStd-Lt" w:cs="HelveticaNeueLTStd-Lt"/>
        <w:color w:val="4D4D4D"/>
        <w:sz w:val="15"/>
        <w:szCs w:val="13"/>
      </w:rPr>
      <w:t>i.v</w:t>
    </w:r>
    <w:proofErr w:type="spellEnd"/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</w:p>
  <w:p w:rsidR="00A84950" w:rsidRPr="001A45B5" w:rsidRDefault="00A84950" w:rsidP="00923202">
    <w:pPr>
      <w:pStyle w:val="Pidipagina"/>
      <w:ind w:left="567"/>
      <w:jc w:val="center"/>
      <w:rPr>
        <w:sz w:val="24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www.domal.it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71" w:rsidRDefault="00475471" w:rsidP="00A84950">
      <w:pPr>
        <w:spacing w:after="0" w:line="240" w:lineRule="auto"/>
      </w:pPr>
      <w:r>
        <w:separator/>
      </w:r>
    </w:p>
  </w:footnote>
  <w:footnote w:type="continuationSeparator" w:id="0">
    <w:p w:rsidR="00475471" w:rsidRDefault="00475471" w:rsidP="00A8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76" w:rsidRDefault="00453E76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0" wp14:anchorId="5F94405F" wp14:editId="55766BEE">
          <wp:simplePos x="0" y="0"/>
          <wp:positionH relativeFrom="column">
            <wp:posOffset>4959350</wp:posOffset>
          </wp:positionH>
          <wp:positionV relativeFrom="paragraph">
            <wp:posOffset>30480</wp:posOffset>
          </wp:positionV>
          <wp:extent cx="1889760" cy="689610"/>
          <wp:effectExtent l="0" t="0" r="0" b="0"/>
          <wp:wrapSquare wrapText="bothSides"/>
          <wp:docPr id="2" name="Immagine 2" descr="logo DOMAL (1A) piccolo 6 x 2 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AL (1A) piccolo 6 x 2 cm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t xml:space="preserve">         </w:t>
    </w:r>
  </w:p>
  <w:p w:rsidR="00453E76" w:rsidRDefault="00453E76">
    <w:pPr>
      <w:pStyle w:val="Intestazione"/>
      <w:rPr>
        <w:noProof/>
        <w:lang w:eastAsia="it-IT"/>
      </w:rPr>
    </w:pPr>
  </w:p>
  <w:p w:rsidR="00453E76" w:rsidRDefault="00453E76">
    <w:pPr>
      <w:pStyle w:val="Intestazione"/>
      <w:rPr>
        <w:noProof/>
        <w:lang w:eastAsia="it-IT"/>
      </w:rPr>
    </w:pPr>
  </w:p>
  <w:p w:rsidR="00453E76" w:rsidRDefault="00453E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B7" w:rsidRDefault="00B179EF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4959350</wp:posOffset>
          </wp:positionH>
          <wp:positionV relativeFrom="paragraph">
            <wp:posOffset>30480</wp:posOffset>
          </wp:positionV>
          <wp:extent cx="1889760" cy="689610"/>
          <wp:effectExtent l="0" t="0" r="0" b="0"/>
          <wp:wrapSquare wrapText="bothSides"/>
          <wp:docPr id="4" name="Immagine 4" descr="logo DOMAL (1A) piccolo 6 x 2 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AL (1A) piccolo 6 x 2 cm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950">
      <w:rPr>
        <w:noProof/>
        <w:lang w:eastAsia="it-IT"/>
      </w:rPr>
      <w:t xml:space="preserve">         </w:t>
    </w:r>
  </w:p>
  <w:p w:rsidR="00B179EF" w:rsidRDefault="00B179EF">
    <w:pPr>
      <w:pStyle w:val="Intestazione"/>
      <w:rPr>
        <w:noProof/>
        <w:lang w:eastAsia="it-IT"/>
      </w:rPr>
    </w:pPr>
  </w:p>
  <w:p w:rsidR="00B179EF" w:rsidRDefault="00B179EF">
    <w:pPr>
      <w:pStyle w:val="Intestazione"/>
      <w:rPr>
        <w:noProof/>
        <w:lang w:eastAsia="it-IT"/>
      </w:rPr>
    </w:pPr>
  </w:p>
  <w:p w:rsidR="00B179EF" w:rsidRDefault="00B179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B26"/>
    <w:multiLevelType w:val="hybridMultilevel"/>
    <w:tmpl w:val="C3146D48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FE0"/>
    <w:multiLevelType w:val="hybridMultilevel"/>
    <w:tmpl w:val="708C1504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2D0E"/>
    <w:multiLevelType w:val="hybridMultilevel"/>
    <w:tmpl w:val="CC9AC3C2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C7364"/>
    <w:multiLevelType w:val="hybridMultilevel"/>
    <w:tmpl w:val="CC9AC3C2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E2C62"/>
    <w:multiLevelType w:val="hybridMultilevel"/>
    <w:tmpl w:val="CC9AC3C2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8B"/>
    <w:rsid w:val="001240B7"/>
    <w:rsid w:val="00161C3B"/>
    <w:rsid w:val="001A45B5"/>
    <w:rsid w:val="00204C38"/>
    <w:rsid w:val="003163F3"/>
    <w:rsid w:val="00411066"/>
    <w:rsid w:val="00453E76"/>
    <w:rsid w:val="00454F13"/>
    <w:rsid w:val="0046240B"/>
    <w:rsid w:val="00475471"/>
    <w:rsid w:val="006C4C8B"/>
    <w:rsid w:val="006C6E58"/>
    <w:rsid w:val="00746E7E"/>
    <w:rsid w:val="0088275D"/>
    <w:rsid w:val="00891B6C"/>
    <w:rsid w:val="00923202"/>
    <w:rsid w:val="00973B0E"/>
    <w:rsid w:val="00A550AD"/>
    <w:rsid w:val="00A84950"/>
    <w:rsid w:val="00B038FF"/>
    <w:rsid w:val="00B1374E"/>
    <w:rsid w:val="00B179EF"/>
    <w:rsid w:val="00BA0E7C"/>
    <w:rsid w:val="00C140DD"/>
    <w:rsid w:val="00C50588"/>
    <w:rsid w:val="00D85B94"/>
    <w:rsid w:val="00F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A104D5"/>
  <w15:docId w15:val="{5B5F5090-9C12-4FCF-A36A-6BB9FA2C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89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itolo2">
    <w:name w:val="heading 2"/>
    <w:basedOn w:val="Normale"/>
    <w:link w:val="Titolo2Carattere"/>
    <w:uiPriority w:val="9"/>
    <w:qFormat/>
    <w:rsid w:val="0089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91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1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B6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1B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1"/>
    <w:qFormat/>
    <w:rsid w:val="00891B6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1B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50"/>
  </w:style>
  <w:style w:type="paragraph" w:styleId="Pidipagina">
    <w:name w:val="footer"/>
    <w:basedOn w:val="Normale"/>
    <w:link w:val="PidipaginaCarattere"/>
    <w:uiPriority w:val="8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8"/>
    <w:rsid w:val="00A849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9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E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904</Words>
  <Characters>5092</Characters>
  <Application>Microsoft Office Word</Application>
  <DocSecurity>0</DocSecurity>
  <Lines>94</Lines>
  <Paragraphs>50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Hydro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Magni</dc:creator>
  <cp:lastModifiedBy>Tabasso, Edoardo</cp:lastModifiedBy>
  <cp:revision>8</cp:revision>
  <cp:lastPrinted>2015-10-15T16:03:00Z</cp:lastPrinted>
  <dcterms:created xsi:type="dcterms:W3CDTF">2017-05-30T10:05:00Z</dcterms:created>
  <dcterms:modified xsi:type="dcterms:W3CDTF">2017-06-01T15:01:00Z</dcterms:modified>
</cp:coreProperties>
</file>